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</w:t>
                            </w:r>
                            <w:proofErr w:type="spellEnd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Dop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6A3" w:rsidRDefault="00C346A3" w:rsidP="00C346A3">
      <w:pPr>
        <w:pStyle w:val="Nadpis1"/>
        <w:rPr>
          <w:rFonts w:ascii="Arial Narrow" w:hAnsi="Arial Narrow" w:cs="Arial Narrow"/>
        </w:rPr>
      </w:pPr>
    </w:p>
    <w:p w:rsidR="00C346A3" w:rsidRDefault="00C346A3" w:rsidP="00C346A3">
      <w:pPr>
        <w:pStyle w:val="Nadpis1"/>
        <w:rPr>
          <w:rFonts w:ascii="Arial Narrow" w:hAnsi="Arial Narrow" w:cs="Arial Narrow"/>
        </w:rPr>
      </w:pPr>
    </w:p>
    <w:p w:rsidR="00C346A3" w:rsidRDefault="00C346A3" w:rsidP="00C346A3">
      <w:pPr>
        <w:pStyle w:val="Nadpis1"/>
        <w:rPr>
          <w:rFonts w:ascii="Arial Narrow" w:hAnsi="Arial Narrow" w:cs="Arial Narrow"/>
        </w:rPr>
      </w:pPr>
    </w:p>
    <w:p w:rsidR="00C346A3" w:rsidRDefault="00C346A3" w:rsidP="00C346A3">
      <w:pPr>
        <w:pStyle w:val="Nadpis1"/>
        <w:rPr>
          <w:rFonts w:ascii="Arial Narrow" w:hAnsi="Arial Narrow" w:cs="Arial Narrow"/>
        </w:rPr>
      </w:pPr>
    </w:p>
    <w:p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CD750B">
        <w:rPr>
          <w:rFonts w:ascii="Arial Narrow" w:hAnsi="Arial Narrow" w:cs="Arial Narrow"/>
          <w:sz w:val="32"/>
          <w:szCs w:val="32"/>
        </w:rPr>
        <w:t>2020</w:t>
      </w: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:rsidR="00744C95" w:rsidRPr="000E52C8" w:rsidRDefault="0057297C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57297C">
              <w:rPr>
                <w:rFonts w:ascii="Arial Narrow" w:hAnsi="Arial Narrow" w:cs="Arial Narrow"/>
                <w:sz w:val="24"/>
                <w:szCs w:val="24"/>
              </w:rPr>
              <w:t>ČV 86/20 ze dne 16. října 2019</w:t>
            </w:r>
          </w:p>
          <w:p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387A5F">
              <w:rPr>
                <w:rFonts w:ascii="Arial Narrow" w:hAnsi="Arial Narrow" w:cs="Arial Narrow"/>
                <w:sz w:val="24"/>
                <w:szCs w:val="24"/>
              </w:rPr>
              <w:t>2020</w:t>
            </w:r>
          </w:p>
        </w:tc>
      </w:tr>
      <w:tr w:rsidR="009F1D95" w:rsidRPr="000E52C8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314B5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3. </w:t>
            </w:r>
            <w:r w:rsidR="00387A5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2021</w:t>
            </w:r>
            <w:r w:rsidR="00387A5F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a vodní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:rsidR="009F1D95" w:rsidRPr="000E52C8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P.O. BOX 9, 110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15  Praha</w:t>
            </w:r>
            <w:proofErr w:type="gramEnd"/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F1D95" w:rsidRPr="000E52C8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C346A3" w:rsidRDefault="00C346A3" w:rsidP="00C346A3">
      <w:pPr>
        <w:rPr>
          <w:rFonts w:ascii="Arial Narrow" w:hAnsi="Arial Narrow" w:cs="Arial Narrow"/>
          <w:b/>
          <w:bCs/>
        </w:rPr>
      </w:pPr>
    </w:p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p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>
        <w:trPr>
          <w:trHeight w:hRule="exact" w:val="400"/>
        </w:trPr>
        <w:tc>
          <w:tcPr>
            <w:tcW w:w="6024" w:type="dxa"/>
          </w:tcPr>
          <w:p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Název zpravodajské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jednotky:.....................................................</w:t>
            </w:r>
            <w:proofErr w:type="gramEnd"/>
          </w:p>
        </w:tc>
        <w:tc>
          <w:tcPr>
            <w:tcW w:w="709" w:type="dxa"/>
          </w:tcPr>
          <w:p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C346A3" w:rsidRDefault="00C346A3" w:rsidP="00C346A3"/>
    <w:p w:rsidR="00C346A3" w:rsidRDefault="00C346A3" w:rsidP="00C346A3"/>
    <w:p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:rsidR="00C346A3" w:rsidRDefault="00C346A3" w:rsidP="00C346A3"/>
    <w:p w:rsidR="009F1D95" w:rsidRDefault="009F1D95" w:rsidP="00C346A3"/>
    <w:p w:rsidR="009F1D95" w:rsidRDefault="009F1D95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C346A3" w:rsidRDefault="00C346A3" w:rsidP="00C346A3"/>
    <w:p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1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1"/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KD - UTI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1269B"/>
    <w:rsid w:val="001129DD"/>
    <w:rsid w:val="00117B62"/>
    <w:rsid w:val="00125BEE"/>
    <w:rsid w:val="001422E9"/>
    <w:rsid w:val="00144862"/>
    <w:rsid w:val="0017202D"/>
    <w:rsid w:val="00191FD9"/>
    <w:rsid w:val="00192CED"/>
    <w:rsid w:val="00195ED4"/>
    <w:rsid w:val="001D2FBE"/>
    <w:rsid w:val="0022727E"/>
    <w:rsid w:val="00232ADF"/>
    <w:rsid w:val="00265B86"/>
    <w:rsid w:val="00282AEC"/>
    <w:rsid w:val="002A4151"/>
    <w:rsid w:val="002C079D"/>
    <w:rsid w:val="002C0AC5"/>
    <w:rsid w:val="00314A0E"/>
    <w:rsid w:val="00314B5D"/>
    <w:rsid w:val="00326C9D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1E4C"/>
    <w:rsid w:val="00502DB2"/>
    <w:rsid w:val="00516907"/>
    <w:rsid w:val="0054760A"/>
    <w:rsid w:val="00557C08"/>
    <w:rsid w:val="00560AFA"/>
    <w:rsid w:val="00562EB2"/>
    <w:rsid w:val="0057297C"/>
    <w:rsid w:val="00581067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96BFD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6F7A"/>
    <w:rsid w:val="00B65D41"/>
    <w:rsid w:val="00B66B5D"/>
    <w:rsid w:val="00BA3DCF"/>
    <w:rsid w:val="00C346A3"/>
    <w:rsid w:val="00C63BAF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012A"/>
    <w:rsid w:val="00E26253"/>
    <w:rsid w:val="00E27D0C"/>
    <w:rsid w:val="00E328D8"/>
    <w:rsid w:val="00E3576D"/>
    <w:rsid w:val="00E540B9"/>
    <w:rsid w:val="00E66208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8660B"/>
    <w:rsid w:val="00FB7638"/>
    <w:rsid w:val="00FC3108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9BC7-872A-4DB4-977C-A9CE0386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Richard Zemánek</cp:lastModifiedBy>
  <cp:revision>5</cp:revision>
  <cp:lastPrinted>2018-05-17T11:15:00Z</cp:lastPrinted>
  <dcterms:created xsi:type="dcterms:W3CDTF">2019-05-22T08:17:00Z</dcterms:created>
  <dcterms:modified xsi:type="dcterms:W3CDTF">2019-12-09T08:20:00Z</dcterms:modified>
</cp:coreProperties>
</file>